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75.png" ContentType="image/png"/>
  <Override PartName="/word/media/rId72.png" ContentType="image/png"/>
  <Override PartName="/word/media/rId69.png" ContentType="image/png"/>
  <Override PartName="/word/media/rId57.png" ContentType="image/png"/>
  <Override PartName="/word/media/rId63.png" ContentType="image/png"/>
  <Override PartName="/word/media/rId60.png" ContentType="image/png"/>
  <Override PartName="/word/media/rId66.png" ContentType="image/png"/>
  <Override PartName="/word/media/rId53.png" ContentType="image/png"/>
  <Override PartName="/word/media/rId50.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82"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w:t>
      </w:r>
    </w:p>
    <w:bookmarkEnd w:id="40"/>
    <w:bookmarkStart w:id="56"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4445000"/>
            <wp:effectExtent b="0" l="0" r="0" t="0"/>
            <wp:docPr descr="Fig. S10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1" name="Picture"/>
            <a:graphic>
              <a:graphicData uri="http://schemas.openxmlformats.org/drawingml/2006/picture">
                <pic:pic>
                  <pic:nvPicPr>
                    <pic:cNvPr descr="../output/figs/supp/prop_no_partial_obs_overall.png" id="52" name="Picture"/>
                    <pic:cNvPicPr>
                      <a:picLocks noChangeArrowheads="1" noChangeAspect="1"/>
                    </pic:cNvPicPr>
                  </pic:nvPicPr>
                  <pic:blipFill>
                    <a:blip r:embed="rId5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S10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1 Proportion of evaluated days that contain partial observations as of the nowcast date by nowcast horizon for each location across all nowcast dates. Days which had partial observations as of the nowcast date are excluded from the main text evaluation analyses." title="" id="54" name="Picture"/>
            <a:graphic>
              <a:graphicData uri="http://schemas.openxmlformats.org/drawingml/2006/picture">
                <pic:pic>
                  <pic:nvPicPr>
                    <pic:cNvPr descr="../output/figs/supp/prop_no_partial_obs_loc.png" id="55" name="Picture"/>
                    <pic:cNvPicPr>
                      <a:picLocks noChangeArrowheads="1" noChangeAspect="1"/>
                    </pic:cNvPicPr>
                  </pic:nvPicPr>
                  <pic:blipFill>
                    <a:blip r:embed="rId5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S11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6"/>
    <w:bookmarkStart w:id="81" w:name="additional-results"/>
    <w:p>
      <w:pPr>
        <w:pStyle w:val="Heading2"/>
      </w:pPr>
      <w:r>
        <w:t xml:space="preserve">Additional results</w:t>
      </w:r>
    </w:p>
    <w:p>
      <w:pPr>
        <w:pStyle w:val="CaptionedFigure"/>
      </w:pPr>
      <w:r>
        <w:drawing>
          <wp:inline>
            <wp:extent cx="5334000" cy="6667499"/>
            <wp:effectExtent b="0" l="0" r="0" t="0"/>
            <wp:docPr descr="Fig. S12 Average of relative scaled skill scores on the Brier score in the US excluding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 title="" id="58" name="Picture"/>
            <a:graphic>
              <a:graphicData uri="http://schemas.openxmlformats.org/drawingml/2006/picture">
                <pic:pic>
                  <pic:nvPicPr>
                    <pic:cNvPr descr="../output/figs/supp/avg_rel_skill_brier.png" id="59" name="Picture"/>
                    <pic:cNvPicPr>
                      <a:picLocks noChangeArrowheads="1" noChangeAspect="1"/>
                    </pic:cNvPicPr>
                  </pic:nvPicPr>
                  <pic:blipFill>
                    <a:blip r:embed="rId5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Average of relative scaled skill scores on the Brier score in the US excluding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3 Average of relative scaled skill scores on the energy score in the US excluding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energy.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energy score in the US excluding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Brier score in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brier_ca.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Brier score in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energy score in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energy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energy score in California. In this figure, we compute the relative scaled skill for each horizon, location, and nowcast date and then average across the relative scaled skills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6 Comparison of the observed clade proportions by sequence collection week across nowcast dates (columns) in the California specific data source for sequencing called California COVIDNet (top row) and the NCBI GenBank data provided by the Hub and used by most other models (bottom row). Colors indicate clade, dashed line indicates the nowcast date. In most weeks, the California specifc dataset, California COVIDNet, has observed clade proportions for a more recent week than the NCBI GenBank dataset does for California." title="" id="70" name="Picture"/>
            <a:graphic>
              <a:graphicData uri="http://schemas.openxmlformats.org/drawingml/2006/picture">
                <pic:pic>
                  <pic:nvPicPr>
                    <pic:cNvPr descr="../output/figs/supp/CA_source_seq_props.png" id="71" name="Picture"/>
                    <pic:cNvPicPr>
                      <a:picLocks noChangeArrowheads="1" noChangeAspect="1"/>
                    </pic:cNvPicPr>
                  </pic:nvPicPr>
                  <pic:blipFill>
                    <a:blip r:embed="rId69"/>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S16 Comparison of the observed clade proportions by sequence collection week across nowcast dates (columns) in the California specific data source for sequencing called California COVIDNet (top row) and the NCBI GenBank data provided by the Hub and used by most other models (bottom row). Colors indicate clade, dashed line indicates the nowcast date. In most weeks, the California specifc dataset, California COVIDNet, has observed clade proportions for a more recent week than the NCBI GenBank dataset does for California.</w:t>
      </w:r>
    </w:p>
    <w:p>
      <w:pPr>
        <w:pStyle w:val="CaptionedFigure"/>
      </w:pPr>
      <w:r>
        <w:drawing>
          <wp:inline>
            <wp:extent cx="5334000" cy="2133600"/>
            <wp:effectExtent b="0" l="0" r="0" t="0"/>
            <wp:docPr descr="Fig. S17 Ratio of the number of sequences available in the NCBI GenBank dataset for California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 title="" id="73" name="Picture"/>
            <a:graphic>
              <a:graphicData uri="http://schemas.openxmlformats.org/drawingml/2006/picture">
                <pic:pic>
                  <pic:nvPicPr>
                    <pic:cNvPr descr="../output/figs/supp/CA_source_seq_level_comparison.png" id="74" name="Picture"/>
                    <pic:cNvPicPr>
                      <a:picLocks noChangeArrowheads="1" noChangeAspect="1"/>
                    </pic:cNvPicPr>
                  </pic:nvPicPr>
                  <pic:blipFill>
                    <a:blip r:embed="rId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S17 Ratio of the number of sequences available in the NCBI GenBank dataset for California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w:t>
      </w:r>
    </w:p>
    <w:p>
      <w:pPr>
        <w:pStyle w:val="CaptionedFigure"/>
      </w:pPr>
      <w:r>
        <w:drawing>
          <wp:inline>
            <wp:extent cx="5334000" cy="3048000"/>
            <wp:effectExtent b="0" l="0" r="0" t="0"/>
            <wp:docPr descr="Fig. S18 Absolute Brier (top) and energy (bottom) in the U.S. excluding California (left) and California (right) by horizon." title="" id="76" name="Picture"/>
            <a:graphic>
              <a:graphicData uri="http://schemas.openxmlformats.org/drawingml/2006/picture">
                <pic:pic>
                  <pic:nvPicPr>
                    <pic:cNvPr descr="../output/figs/overall_scores/supp/absolute_scores_by_horizon.png" id="77" name="Picture"/>
                    <pic:cNvPicPr>
                      <a:picLocks noChangeArrowheads="1" noChangeAspect="1"/>
                    </pic:cNvPicPr>
                  </pic:nvPicPr>
                  <pic:blipFill>
                    <a:blip r:embed="rId7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S18 Absolute Brier (top) and energy (bottom) in the U.S. excluding California (left) and California (right) by horizon.</w:t>
      </w:r>
    </w:p>
    <w:p>
      <w:pPr>
        <w:pStyle w:val="CaptionedFigure"/>
      </w:pPr>
      <w:r>
        <w:drawing>
          <wp:inline>
            <wp:extent cx="5334000" cy="4000499"/>
            <wp:effectExtent b="0" l="0" r="0" t="0"/>
            <wp:docPr descr="Fig. S19 Bias over time for three example states in the US during the 25A emergence." title="" id="79" name="Picture"/>
            <a:graphic>
              <a:graphicData uri="http://schemas.openxmlformats.org/drawingml/2006/picture">
                <pic:pic>
                  <pic:nvPicPr>
                    <pic:cNvPr descr="../output/figs/zoom_25A/supp/bias_over_time_25A.png" id="80" name="Picture"/>
                    <pic:cNvPicPr>
                      <a:picLocks noChangeArrowheads="1" noChangeAspect="1"/>
                    </pic:cNvPicPr>
                  </pic:nvPicPr>
                  <pic:blipFill>
                    <a:blip r:embed="rId7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S19 Bias over time for three example states in the US during the 25A emergence.</w:t>
      </w:r>
    </w:p>
    <w:bookmarkEnd w:id="81"/>
    <w:bookmarkEnd w:id="8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78" Target="media/rId7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evaluationof SARS-CoV-2 variant nowcasting in the U.S.</dc:title>
  <dc:creator/>
  <cp:keywords/>
  <dcterms:created xsi:type="dcterms:W3CDTF">2026-01-23T11:34:15Z</dcterms:created>
  <dcterms:modified xsi:type="dcterms:W3CDTF">2026-01-23T11:34:15Z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